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FD102" w14:textId="38300046" w:rsidR="00023AF3" w:rsidRPr="00895243" w:rsidRDefault="00895243" w:rsidP="00895243">
      <w:pPr>
        <w:jc w:val="both"/>
      </w:pPr>
      <w:r>
        <w:t>Reunião Extraordinária do Comitê de Investimentos</w:t>
      </w:r>
      <w:r>
        <w:t xml:space="preserve">. </w:t>
      </w:r>
      <w:r>
        <w:t>Data: 08/07/2025 – 14h30 | Local: Sede do GuanhãesPrev / Híbrida</w:t>
      </w:r>
      <w:r>
        <w:t xml:space="preserve">. </w:t>
      </w:r>
      <w:r>
        <w:t>Principais pontos tratados: apresentação da Privatiza AAII (Raphael) sobre o AZ Quest Small Mid Caps, com queda de ~3% apesar do cenário adverso (~25% no índice), destacando mitigação parcial das perdas pela diversificação em grandes empresas e alterações regulatórias que permitiram tais alocações. O fundo possui histórico de consistência e gestão responsável, com oscilações inerentes ao segmento. Foi ressaltado que o resgate foi estratégico, sem relação com risco de crédito, alinhado ao estudo de ALM que indicou zerar renda variável e realocar em renda fixa, considerando o cenário atual e a instabilidade pré-eleitoral.</w:t>
      </w:r>
      <w:r>
        <w:t xml:space="preserve"> </w:t>
      </w:r>
      <w:r>
        <w:t>No cenário macroeconômico, discutiu-se a alta do Ibovespa de 120 mil para 140 mil pontos, impulsionada pela entrada de US$ 25 bi em capital estrangeiro, as perspectivas de alternância de poder em 2026 e possíveis impactos no mercado e fluxo de capitais, com expectativa de CDI elevado, mas possível recuo em 2026.</w:t>
      </w:r>
      <w:r>
        <w:t xml:space="preserve"> </w:t>
      </w:r>
      <w:r>
        <w:t>Avaliaram-se opções de realocação em renda fixa, destacando a dificuldade de NTN-Bs curtas, optando por fundos de vértice (ex: Bradesco IPCA + 10,04% a.a., vencimento em 1 ano) como alternativa alinhada à política de investimentos. Foi apresentado fundo multimercado internacional (long &amp; short), exposto a tecnologia e comunicação (Meta, Google, Microsoft), protegido contra câmbio, com rendimento de 8,49% em 12 meses e 120% acumulado em 5,5 anos, com possibilidade de futura análise para diversificação controlada.</w:t>
      </w:r>
      <w:r>
        <w:t xml:space="preserve"> </w:t>
      </w:r>
      <w:r>
        <w:t>Houve análise de fundos de crédito privado, priorizando liquidez de até D+5 e descartando fundos com prazos superiores a D+30. Foi destacada a consistência dos fundos estruturados no longo prazo, com discussão sobre limitações de comparação com índices teóricos e os desafios da política fiscal no cenário de investimentos.</w:t>
      </w:r>
      <w:r>
        <w:t xml:space="preserve"> </w:t>
      </w:r>
      <w:r>
        <w:t>Encaminhamentos: aguardar envio da lâmina e regulamento do fundo de crédito da Privatiza para análise e deliberação de alocação dos recursos resgatados, prosseguir com a estratégia de renda fixa no curto prazo, sem descartar retorno à renda variável conforme incremento de receita e cenário, mantendo foco em preservação de capital, consistência e cumprimento das metas atuariais, com prudência em ano eleitoral.</w:t>
      </w:r>
    </w:p>
    <w:sectPr w:rsidR="00023AF3" w:rsidRPr="008952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E1B"/>
    <w:rsid w:val="00023AF3"/>
    <w:rsid w:val="00216629"/>
    <w:rsid w:val="00682E1B"/>
    <w:rsid w:val="00895243"/>
    <w:rsid w:val="00A67C8E"/>
    <w:rsid w:val="00E051D2"/>
    <w:rsid w:val="00EF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E9BA5"/>
  <w15:chartTrackingRefBased/>
  <w15:docId w15:val="{49426728-DDCC-4B91-9249-0B90378C2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82E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82E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82E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82E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82E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82E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82E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82E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82E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2E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82E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82E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82E1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82E1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82E1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82E1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82E1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82E1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82E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82E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82E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82E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82E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82E1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82E1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82E1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82E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82E1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82E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333</Words>
  <Characters>1981</Characters>
  <Application>Microsoft Office Word</Application>
  <DocSecurity>0</DocSecurity>
  <Lines>26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Rosimeiry Procópio</dc:creator>
  <cp:keywords/>
  <dc:description/>
  <cp:lastModifiedBy>Rosimeiry Procópio</cp:lastModifiedBy>
  <cp:revision>1</cp:revision>
  <dcterms:created xsi:type="dcterms:W3CDTF">2025-07-14T17:31:00Z</dcterms:created>
  <dcterms:modified xsi:type="dcterms:W3CDTF">2025-07-14T17:43:00Z</dcterms:modified>
</cp:coreProperties>
</file>